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540" w:tblpY="1141"/>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3"/>
        <w:gridCol w:w="1137"/>
        <w:gridCol w:w="2995"/>
        <w:gridCol w:w="1698"/>
        <w:gridCol w:w="722"/>
        <w:gridCol w:w="630"/>
        <w:gridCol w:w="1560"/>
      </w:tblGrid>
      <w:tr w:rsidR="004A3DA8" w14:paraId="33FC8A2A" w14:textId="77777777" w:rsidTr="00186465">
        <w:trPr>
          <w:trHeight w:val="576"/>
        </w:trPr>
        <w:tc>
          <w:tcPr>
            <w:tcW w:w="1653" w:type="dxa"/>
            <w:vMerge w:val="restart"/>
            <w:tcBorders>
              <w:top w:val="nil"/>
              <w:left w:val="nil"/>
              <w:right w:val="nil"/>
            </w:tcBorders>
          </w:tcPr>
          <w:p w14:paraId="7733C63F" w14:textId="0D3AAD8F" w:rsidR="00435C83" w:rsidRDefault="00435C83" w:rsidP="00186465"/>
        </w:tc>
        <w:tc>
          <w:tcPr>
            <w:tcW w:w="1137" w:type="dxa"/>
            <w:tcBorders>
              <w:top w:val="single" w:sz="12" w:space="0" w:color="auto"/>
              <w:left w:val="nil"/>
            </w:tcBorders>
            <w:vAlign w:val="center"/>
          </w:tcPr>
          <w:p w14:paraId="18495DE5" w14:textId="21BEEAEE" w:rsidR="00435C83" w:rsidRPr="00C96D04" w:rsidRDefault="00435C83" w:rsidP="00186465">
            <w:pPr>
              <w:jc w:val="center"/>
              <w:rPr>
                <w:rFonts w:cstheme="minorHAnsi"/>
                <w:sz w:val="24"/>
                <w:szCs w:val="24"/>
              </w:rPr>
            </w:pPr>
            <w:r w:rsidRPr="00C96D04">
              <w:rPr>
                <w:rFonts w:cstheme="minorHAnsi"/>
                <w:b/>
                <w:bCs/>
                <w:sz w:val="24"/>
                <w:szCs w:val="24"/>
              </w:rPr>
              <w:t>Title</w:t>
            </w:r>
            <w:r w:rsidRPr="00C96D04">
              <w:rPr>
                <w:rFonts w:cstheme="minorHAnsi"/>
                <w:sz w:val="24"/>
                <w:szCs w:val="24"/>
              </w:rPr>
              <w:t>:</w:t>
            </w:r>
          </w:p>
        </w:tc>
        <w:tc>
          <w:tcPr>
            <w:tcW w:w="4693" w:type="dxa"/>
            <w:gridSpan w:val="2"/>
            <w:tcBorders>
              <w:top w:val="single" w:sz="12" w:space="0" w:color="auto"/>
            </w:tcBorders>
            <w:vAlign w:val="center"/>
          </w:tcPr>
          <w:p w14:paraId="51A3C92C" w14:textId="34823CC7" w:rsidR="00435C83" w:rsidRPr="00C96D04" w:rsidRDefault="00862B49" w:rsidP="00186465">
            <w:pPr>
              <w:jc w:val="center"/>
              <w:rPr>
                <w:rFonts w:cstheme="minorHAnsi"/>
              </w:rPr>
            </w:pPr>
            <w:r>
              <w:rPr>
                <w:rFonts w:cstheme="minorHAnsi"/>
              </w:rPr>
              <w:t>SPECIMEN COLLECTION</w:t>
            </w:r>
            <w:r w:rsidR="00D6391A">
              <w:rPr>
                <w:rFonts w:cstheme="minorHAnsi"/>
              </w:rPr>
              <w:t xml:space="preserve">, </w:t>
            </w:r>
            <w:r>
              <w:rPr>
                <w:rFonts w:cstheme="minorHAnsi"/>
              </w:rPr>
              <w:t>STORAGE</w:t>
            </w:r>
            <w:r w:rsidR="00D6391A">
              <w:rPr>
                <w:rFonts w:cstheme="minorHAnsi"/>
              </w:rPr>
              <w:t xml:space="preserve"> AND DISPOSAL</w:t>
            </w:r>
          </w:p>
        </w:tc>
        <w:tc>
          <w:tcPr>
            <w:tcW w:w="1352" w:type="dxa"/>
            <w:gridSpan w:val="2"/>
            <w:tcBorders>
              <w:top w:val="single" w:sz="12" w:space="0" w:color="auto"/>
            </w:tcBorders>
            <w:vAlign w:val="center"/>
          </w:tcPr>
          <w:p w14:paraId="1369728E" w14:textId="00B7D1AC" w:rsidR="00435C83" w:rsidRPr="00C96D04" w:rsidRDefault="00435C83" w:rsidP="00186465">
            <w:pPr>
              <w:jc w:val="center"/>
              <w:rPr>
                <w:rFonts w:cstheme="minorHAnsi"/>
                <w:sz w:val="24"/>
                <w:szCs w:val="24"/>
              </w:rPr>
            </w:pPr>
            <w:r w:rsidRPr="00C96D04">
              <w:rPr>
                <w:rFonts w:cstheme="minorHAnsi"/>
                <w:b/>
                <w:bCs/>
                <w:sz w:val="24"/>
                <w:szCs w:val="24"/>
              </w:rPr>
              <w:t>Policy #</w:t>
            </w:r>
          </w:p>
        </w:tc>
        <w:tc>
          <w:tcPr>
            <w:tcW w:w="1560" w:type="dxa"/>
            <w:tcBorders>
              <w:top w:val="single" w:sz="12" w:space="0" w:color="auto"/>
              <w:right w:val="single" w:sz="12" w:space="0" w:color="auto"/>
            </w:tcBorders>
            <w:vAlign w:val="center"/>
          </w:tcPr>
          <w:p w14:paraId="291C0BC7" w14:textId="0959C041" w:rsidR="00435C83" w:rsidRPr="00C96D04" w:rsidRDefault="00F83CE5" w:rsidP="00186465">
            <w:pPr>
              <w:jc w:val="center"/>
              <w:rPr>
                <w:rFonts w:cstheme="minorHAnsi"/>
                <w:sz w:val="24"/>
                <w:szCs w:val="24"/>
              </w:rPr>
            </w:pPr>
            <w:r>
              <w:rPr>
                <w:rFonts w:cstheme="minorHAnsi"/>
                <w:sz w:val="24"/>
                <w:szCs w:val="24"/>
              </w:rPr>
              <w:t>MO.2.03</w:t>
            </w:r>
          </w:p>
        </w:tc>
      </w:tr>
      <w:tr w:rsidR="00174BEF" w14:paraId="053E9FC0" w14:textId="71F50D38" w:rsidTr="00722683">
        <w:trPr>
          <w:trHeight w:val="443"/>
        </w:trPr>
        <w:tc>
          <w:tcPr>
            <w:tcW w:w="1653" w:type="dxa"/>
            <w:vMerge/>
            <w:tcBorders>
              <w:left w:val="nil"/>
              <w:right w:val="nil"/>
            </w:tcBorders>
          </w:tcPr>
          <w:p w14:paraId="7A4D41EC" w14:textId="77777777" w:rsidR="00174BEF" w:rsidRDefault="00174BEF" w:rsidP="00186465"/>
        </w:tc>
        <w:tc>
          <w:tcPr>
            <w:tcW w:w="1137" w:type="dxa"/>
            <w:tcBorders>
              <w:left w:val="nil"/>
            </w:tcBorders>
            <w:vAlign w:val="center"/>
          </w:tcPr>
          <w:p w14:paraId="00E704AE" w14:textId="17FA2DB3" w:rsidR="00174BEF" w:rsidRPr="00C96D04" w:rsidRDefault="00174BEF" w:rsidP="00186465">
            <w:pPr>
              <w:jc w:val="center"/>
              <w:rPr>
                <w:rFonts w:cstheme="minorHAnsi"/>
                <w:sz w:val="24"/>
                <w:szCs w:val="24"/>
              </w:rPr>
            </w:pPr>
            <w:r w:rsidRPr="00C96D04">
              <w:rPr>
                <w:rFonts w:cstheme="minorHAnsi"/>
                <w:b/>
                <w:bCs/>
                <w:sz w:val="24"/>
                <w:szCs w:val="24"/>
              </w:rPr>
              <w:t>Division:</w:t>
            </w:r>
          </w:p>
        </w:tc>
        <w:tc>
          <w:tcPr>
            <w:tcW w:w="4693" w:type="dxa"/>
            <w:gridSpan w:val="2"/>
            <w:vAlign w:val="center"/>
          </w:tcPr>
          <w:p w14:paraId="39AB4A1F" w14:textId="37390E15" w:rsidR="00174BEF" w:rsidRPr="00C96D04" w:rsidRDefault="00CD4458" w:rsidP="00186465">
            <w:pPr>
              <w:jc w:val="center"/>
              <w:rPr>
                <w:rFonts w:cstheme="minorHAnsi"/>
              </w:rPr>
            </w:pPr>
            <w:r>
              <w:rPr>
                <w:noProof/>
                <w:sz w:val="24"/>
                <w:szCs w:val="24"/>
              </w:rPr>
              <w:drawing>
                <wp:anchor distT="0" distB="0" distL="114300" distR="114300" simplePos="0" relativeHeight="251660288" behindDoc="1" locked="0" layoutInCell="1" allowOverlap="1" wp14:anchorId="69F8D79A" wp14:editId="2FC37B47">
                  <wp:simplePos x="0" y="0"/>
                  <wp:positionH relativeFrom="column">
                    <wp:posOffset>-523875</wp:posOffset>
                  </wp:positionH>
                  <wp:positionV relativeFrom="page">
                    <wp:posOffset>201295</wp:posOffset>
                  </wp:positionV>
                  <wp:extent cx="2657475" cy="664845"/>
                  <wp:effectExtent l="0" t="0" r="952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664845"/>
                          </a:xfrm>
                          <a:prstGeom prst="rect">
                            <a:avLst/>
                          </a:prstGeom>
                        </pic:spPr>
                      </pic:pic>
                    </a:graphicData>
                  </a:graphic>
                  <wp14:sizeRelH relativeFrom="page">
                    <wp14:pctWidth>0</wp14:pctWidth>
                  </wp14:sizeRelH>
                  <wp14:sizeRelV relativeFrom="page">
                    <wp14:pctHeight>0</wp14:pctHeight>
                  </wp14:sizeRelV>
                </wp:anchor>
              </w:drawing>
            </w:r>
            <w:r w:rsidR="00174BEF">
              <w:rPr>
                <w:rFonts w:cstheme="minorHAnsi"/>
              </w:rPr>
              <w:t>Forensic</w:t>
            </w:r>
          </w:p>
        </w:tc>
        <w:tc>
          <w:tcPr>
            <w:tcW w:w="1352" w:type="dxa"/>
            <w:gridSpan w:val="2"/>
            <w:vAlign w:val="center"/>
          </w:tcPr>
          <w:p w14:paraId="7B4768F7" w14:textId="53EAA651" w:rsidR="00174BEF" w:rsidRPr="00C96D04" w:rsidRDefault="00174BEF" w:rsidP="00186465">
            <w:pPr>
              <w:jc w:val="center"/>
              <w:rPr>
                <w:rFonts w:cstheme="minorHAnsi"/>
                <w:b/>
                <w:bCs/>
                <w:sz w:val="24"/>
                <w:szCs w:val="24"/>
              </w:rPr>
            </w:pPr>
            <w:r w:rsidRPr="00C96D04">
              <w:rPr>
                <w:rFonts w:cstheme="minorHAnsi"/>
                <w:b/>
                <w:bCs/>
                <w:sz w:val="24"/>
                <w:szCs w:val="24"/>
              </w:rPr>
              <w:t>Page:</w:t>
            </w:r>
          </w:p>
        </w:tc>
        <w:tc>
          <w:tcPr>
            <w:tcW w:w="1560" w:type="dxa"/>
            <w:tcBorders>
              <w:right w:val="single" w:sz="12" w:space="0" w:color="auto"/>
            </w:tcBorders>
            <w:vAlign w:val="center"/>
          </w:tcPr>
          <w:p w14:paraId="61090977" w14:textId="3C01474C" w:rsidR="00174BEF" w:rsidRPr="00174BEF" w:rsidRDefault="00174BEF" w:rsidP="00174BEF">
            <w:pPr>
              <w:jc w:val="center"/>
              <w:rPr>
                <w:rFonts w:cstheme="minorHAnsi"/>
              </w:rPr>
            </w:pPr>
            <w:r w:rsidRPr="00174BEF">
              <w:rPr>
                <w:rFonts w:cstheme="minorHAnsi"/>
              </w:rPr>
              <w:t xml:space="preserve">Page </w:t>
            </w:r>
            <w:r w:rsidRPr="00174BEF">
              <w:rPr>
                <w:rFonts w:cstheme="minorHAnsi"/>
              </w:rPr>
              <w:fldChar w:fldCharType="begin"/>
            </w:r>
            <w:r w:rsidRPr="00174BEF">
              <w:rPr>
                <w:rFonts w:cstheme="minorHAnsi"/>
              </w:rPr>
              <w:instrText xml:space="preserve"> PAGE  \* Arabic  \* MERGEFORMAT </w:instrText>
            </w:r>
            <w:r w:rsidRPr="00174BEF">
              <w:rPr>
                <w:rFonts w:cstheme="minorHAnsi"/>
              </w:rPr>
              <w:fldChar w:fldCharType="separate"/>
            </w:r>
            <w:r w:rsidRPr="00174BEF">
              <w:rPr>
                <w:rFonts w:cstheme="minorHAnsi"/>
                <w:noProof/>
              </w:rPr>
              <w:t>1</w:t>
            </w:r>
            <w:r w:rsidRPr="00174BEF">
              <w:rPr>
                <w:rFonts w:cstheme="minorHAnsi"/>
              </w:rPr>
              <w:fldChar w:fldCharType="end"/>
            </w:r>
            <w:r w:rsidRPr="00174BEF">
              <w:rPr>
                <w:rFonts w:cstheme="minorHAnsi"/>
              </w:rPr>
              <w:t xml:space="preserve"> of </w:t>
            </w:r>
            <w:r w:rsidRPr="00174BEF">
              <w:rPr>
                <w:rFonts w:cstheme="minorHAnsi"/>
              </w:rPr>
              <w:fldChar w:fldCharType="begin"/>
            </w:r>
            <w:r w:rsidRPr="00174BEF">
              <w:rPr>
                <w:rFonts w:cstheme="minorHAnsi"/>
              </w:rPr>
              <w:instrText xml:space="preserve"> NUMPAGES  \* Arabic  \* MERGEFORMAT </w:instrText>
            </w:r>
            <w:r w:rsidRPr="00174BEF">
              <w:rPr>
                <w:rFonts w:cstheme="minorHAnsi"/>
              </w:rPr>
              <w:fldChar w:fldCharType="separate"/>
            </w:r>
            <w:r w:rsidRPr="00174BEF">
              <w:rPr>
                <w:rFonts w:cstheme="minorHAnsi"/>
                <w:noProof/>
              </w:rPr>
              <w:t>2</w:t>
            </w:r>
            <w:r w:rsidRPr="00174BEF">
              <w:rPr>
                <w:rFonts w:cstheme="minorHAnsi"/>
              </w:rPr>
              <w:fldChar w:fldCharType="end"/>
            </w:r>
          </w:p>
        </w:tc>
      </w:tr>
      <w:tr w:rsidR="00F059F0" w14:paraId="39022FCF" w14:textId="078DB152" w:rsidTr="00F8353E">
        <w:trPr>
          <w:trHeight w:val="668"/>
        </w:trPr>
        <w:tc>
          <w:tcPr>
            <w:tcW w:w="2790" w:type="dxa"/>
            <w:gridSpan w:val="2"/>
            <w:tcBorders>
              <w:left w:val="single" w:sz="12" w:space="0" w:color="auto"/>
            </w:tcBorders>
            <w:vAlign w:val="center"/>
          </w:tcPr>
          <w:p w14:paraId="19C4849A" w14:textId="05B7BFA5" w:rsidR="00F059F0" w:rsidRPr="00C96D04" w:rsidRDefault="00F059F0" w:rsidP="00186465">
            <w:pPr>
              <w:jc w:val="center"/>
              <w:rPr>
                <w:rFonts w:cstheme="minorHAnsi"/>
                <w:b/>
                <w:bCs/>
                <w:sz w:val="24"/>
                <w:szCs w:val="24"/>
              </w:rPr>
            </w:pPr>
            <w:r w:rsidRPr="00C96D04">
              <w:rPr>
                <w:rFonts w:cstheme="minorHAnsi"/>
                <w:b/>
                <w:bCs/>
                <w:sz w:val="24"/>
                <w:szCs w:val="24"/>
              </w:rPr>
              <w:t>Coroner Signature:</w:t>
            </w:r>
          </w:p>
        </w:tc>
        <w:tc>
          <w:tcPr>
            <w:tcW w:w="2995" w:type="dxa"/>
            <w:vAlign w:val="center"/>
          </w:tcPr>
          <w:p w14:paraId="231FC0E5" w14:textId="12FE0CAD" w:rsidR="00F059F0" w:rsidRPr="00C96D04" w:rsidRDefault="00F059F0" w:rsidP="00F8353E">
            <w:pPr>
              <w:jc w:val="center"/>
              <w:rPr>
                <w:rFonts w:cstheme="minorHAnsi"/>
              </w:rPr>
            </w:pPr>
          </w:p>
        </w:tc>
        <w:tc>
          <w:tcPr>
            <w:tcW w:w="2420" w:type="dxa"/>
            <w:gridSpan w:val="2"/>
            <w:tcBorders>
              <w:right w:val="single" w:sz="4" w:space="0" w:color="auto"/>
            </w:tcBorders>
            <w:vAlign w:val="center"/>
          </w:tcPr>
          <w:p w14:paraId="4AFF2383" w14:textId="6123D5A0" w:rsidR="00F059F0" w:rsidRPr="00C96D04" w:rsidRDefault="00F059F0" w:rsidP="00186465">
            <w:pPr>
              <w:jc w:val="center"/>
              <w:rPr>
                <w:rFonts w:cstheme="minorHAnsi"/>
                <w:b/>
                <w:bCs/>
                <w:sz w:val="24"/>
                <w:szCs w:val="24"/>
              </w:rPr>
            </w:pPr>
            <w:r w:rsidRPr="00C96D04">
              <w:rPr>
                <w:rFonts w:cstheme="minorHAnsi"/>
                <w:b/>
                <w:bCs/>
                <w:sz w:val="24"/>
                <w:szCs w:val="24"/>
              </w:rPr>
              <w:t>NAME Reference:</w:t>
            </w:r>
          </w:p>
        </w:tc>
        <w:tc>
          <w:tcPr>
            <w:tcW w:w="2190" w:type="dxa"/>
            <w:gridSpan w:val="2"/>
            <w:tcBorders>
              <w:right w:val="single" w:sz="12" w:space="0" w:color="auto"/>
            </w:tcBorders>
            <w:vAlign w:val="center"/>
          </w:tcPr>
          <w:p w14:paraId="61D8405F" w14:textId="2E7A2F18" w:rsidR="00F059F0" w:rsidRPr="00C96D04" w:rsidRDefault="0063338D" w:rsidP="00F8353E">
            <w:pPr>
              <w:jc w:val="center"/>
              <w:rPr>
                <w:rFonts w:cstheme="minorHAnsi"/>
              </w:rPr>
            </w:pPr>
            <w:r>
              <w:rPr>
                <w:rFonts w:cstheme="minorHAnsi"/>
              </w:rPr>
              <w:t>C6j,</w:t>
            </w:r>
            <w:r w:rsidR="00E84BA7">
              <w:rPr>
                <w:rFonts w:cstheme="minorHAnsi"/>
              </w:rPr>
              <w:t>C6m,</w:t>
            </w:r>
            <w:r w:rsidR="00823311">
              <w:rPr>
                <w:rFonts w:cstheme="minorHAnsi"/>
              </w:rPr>
              <w:t>C6n,</w:t>
            </w:r>
            <w:r>
              <w:rPr>
                <w:rFonts w:cstheme="minorHAnsi"/>
              </w:rPr>
              <w:t>C7b,</w:t>
            </w:r>
            <w:r w:rsidR="00823311">
              <w:rPr>
                <w:rFonts w:cstheme="minorHAnsi"/>
              </w:rPr>
              <w:t xml:space="preserve"> </w:t>
            </w:r>
            <w:r>
              <w:rPr>
                <w:rFonts w:cstheme="minorHAnsi"/>
              </w:rPr>
              <w:t>C7c,</w:t>
            </w:r>
            <w:r w:rsidR="00F61665">
              <w:rPr>
                <w:rFonts w:cstheme="minorHAnsi"/>
              </w:rPr>
              <w:t>C7j,</w:t>
            </w:r>
            <w:r w:rsidR="00E84BA7">
              <w:rPr>
                <w:rFonts w:cstheme="minorHAnsi"/>
              </w:rPr>
              <w:t>E4a,E4f</w:t>
            </w:r>
          </w:p>
        </w:tc>
      </w:tr>
      <w:tr w:rsidR="00F059F0" w14:paraId="699B9FF3" w14:textId="77777777" w:rsidTr="00F8353E">
        <w:trPr>
          <w:trHeight w:val="740"/>
        </w:trPr>
        <w:tc>
          <w:tcPr>
            <w:tcW w:w="2790" w:type="dxa"/>
            <w:gridSpan w:val="2"/>
            <w:tcBorders>
              <w:left w:val="single" w:sz="12" w:space="0" w:color="auto"/>
              <w:bottom w:val="single" w:sz="12" w:space="0" w:color="auto"/>
            </w:tcBorders>
            <w:vAlign w:val="center"/>
          </w:tcPr>
          <w:p w14:paraId="6A3AE111" w14:textId="3757DAD4" w:rsidR="00F059F0" w:rsidRPr="00C96D04" w:rsidRDefault="00F059F0" w:rsidP="00186465">
            <w:pPr>
              <w:jc w:val="center"/>
              <w:rPr>
                <w:rFonts w:cstheme="minorHAnsi"/>
                <w:b/>
                <w:bCs/>
                <w:sz w:val="24"/>
                <w:szCs w:val="24"/>
              </w:rPr>
            </w:pPr>
            <w:r w:rsidRPr="00C96D04">
              <w:rPr>
                <w:rFonts w:cstheme="minorHAnsi"/>
                <w:b/>
                <w:bCs/>
                <w:sz w:val="24"/>
                <w:szCs w:val="24"/>
              </w:rPr>
              <w:t>Approved/Revised Date:</w:t>
            </w:r>
          </w:p>
        </w:tc>
        <w:tc>
          <w:tcPr>
            <w:tcW w:w="2995" w:type="dxa"/>
            <w:tcBorders>
              <w:bottom w:val="single" w:sz="12" w:space="0" w:color="auto"/>
            </w:tcBorders>
            <w:vAlign w:val="center"/>
          </w:tcPr>
          <w:p w14:paraId="7A2C4A96" w14:textId="11EF98BE" w:rsidR="00F059F0" w:rsidRPr="00CD4458" w:rsidRDefault="00CD4458" w:rsidP="00F8353E">
            <w:pPr>
              <w:jc w:val="center"/>
              <w:rPr>
                <w:rFonts w:cstheme="minorHAnsi"/>
                <w:b/>
                <w:bCs/>
                <w:color w:val="0070C0"/>
                <w:sz w:val="24"/>
                <w:szCs w:val="24"/>
              </w:rPr>
            </w:pPr>
            <w:r>
              <w:rPr>
                <w:rFonts w:cstheme="minorHAnsi"/>
                <w:b/>
                <w:bCs/>
                <w:color w:val="0070C0"/>
                <w:sz w:val="24"/>
                <w:szCs w:val="24"/>
              </w:rPr>
              <w:t>02-20-2024</w:t>
            </w:r>
          </w:p>
        </w:tc>
        <w:tc>
          <w:tcPr>
            <w:tcW w:w="2420" w:type="dxa"/>
            <w:gridSpan w:val="2"/>
            <w:tcBorders>
              <w:bottom w:val="single" w:sz="12" w:space="0" w:color="auto"/>
            </w:tcBorders>
            <w:vAlign w:val="center"/>
          </w:tcPr>
          <w:p w14:paraId="4F59EF38" w14:textId="05561340" w:rsidR="00F059F0" w:rsidRPr="00C96D04" w:rsidRDefault="00F059F0" w:rsidP="00186465">
            <w:pPr>
              <w:jc w:val="center"/>
              <w:rPr>
                <w:rFonts w:cstheme="minorHAnsi"/>
                <w:b/>
                <w:bCs/>
                <w:sz w:val="24"/>
                <w:szCs w:val="24"/>
              </w:rPr>
            </w:pPr>
            <w:r w:rsidRPr="00C96D04">
              <w:rPr>
                <w:rFonts w:cstheme="minorHAnsi"/>
                <w:b/>
                <w:bCs/>
                <w:sz w:val="24"/>
                <w:szCs w:val="24"/>
              </w:rPr>
              <w:t>IACME Reference:</w:t>
            </w:r>
          </w:p>
        </w:tc>
        <w:tc>
          <w:tcPr>
            <w:tcW w:w="2190" w:type="dxa"/>
            <w:gridSpan w:val="2"/>
            <w:tcBorders>
              <w:bottom w:val="single" w:sz="12" w:space="0" w:color="auto"/>
              <w:right w:val="single" w:sz="12" w:space="0" w:color="auto"/>
            </w:tcBorders>
            <w:vAlign w:val="center"/>
          </w:tcPr>
          <w:p w14:paraId="16CA4A93" w14:textId="42366FF3" w:rsidR="00F059F0" w:rsidRPr="00C96D04" w:rsidRDefault="005B723E" w:rsidP="00F8353E">
            <w:pPr>
              <w:jc w:val="center"/>
              <w:rPr>
                <w:rFonts w:cstheme="minorHAnsi"/>
              </w:rPr>
            </w:pPr>
            <w:r>
              <w:rPr>
                <w:rFonts w:cstheme="minorHAnsi"/>
              </w:rPr>
              <w:t>A6</w:t>
            </w:r>
            <w:r w:rsidR="000565C5">
              <w:rPr>
                <w:rFonts w:cstheme="minorHAnsi"/>
              </w:rPr>
              <w:t>l</w:t>
            </w:r>
            <w:r>
              <w:rPr>
                <w:rFonts w:cstheme="minorHAnsi"/>
              </w:rPr>
              <w:t>,</w:t>
            </w:r>
            <w:r w:rsidR="00D44D21">
              <w:rPr>
                <w:rFonts w:cstheme="minorHAnsi"/>
              </w:rPr>
              <w:t>C5d,</w:t>
            </w:r>
            <w:r w:rsidR="002A5E88">
              <w:rPr>
                <w:rFonts w:cstheme="minorHAnsi"/>
              </w:rPr>
              <w:t>C5e,</w:t>
            </w:r>
            <w:r w:rsidR="00E84BA7">
              <w:rPr>
                <w:rFonts w:cstheme="minorHAnsi"/>
              </w:rPr>
              <w:t>C5</w:t>
            </w:r>
            <w:r w:rsidR="000565C5">
              <w:rPr>
                <w:rFonts w:cstheme="minorHAnsi"/>
              </w:rPr>
              <w:t>k</w:t>
            </w:r>
            <w:r w:rsidR="00E84BA7">
              <w:rPr>
                <w:rFonts w:cstheme="minorHAnsi"/>
              </w:rPr>
              <w:t>,</w:t>
            </w:r>
            <w:r w:rsidR="00CA53BB">
              <w:rPr>
                <w:rFonts w:cstheme="minorHAnsi"/>
              </w:rPr>
              <w:t xml:space="preserve"> C5</w:t>
            </w:r>
            <w:r w:rsidR="000565C5">
              <w:rPr>
                <w:rFonts w:cstheme="minorHAnsi"/>
              </w:rPr>
              <w:t>t</w:t>
            </w:r>
            <w:r w:rsidR="00CA53BB">
              <w:rPr>
                <w:rFonts w:cstheme="minorHAnsi"/>
              </w:rPr>
              <w:t>,</w:t>
            </w:r>
            <w:r w:rsidR="00D44D21">
              <w:rPr>
                <w:rFonts w:cstheme="minorHAnsi"/>
              </w:rPr>
              <w:t>C5</w:t>
            </w:r>
            <w:r w:rsidR="000565C5">
              <w:rPr>
                <w:rFonts w:cstheme="minorHAnsi"/>
              </w:rPr>
              <w:t>u</w:t>
            </w:r>
            <w:r w:rsidR="000974C2">
              <w:rPr>
                <w:rFonts w:cstheme="minorHAnsi"/>
              </w:rPr>
              <w:t>,</w:t>
            </w:r>
            <w:r w:rsidR="00E84BA7">
              <w:rPr>
                <w:rFonts w:cstheme="minorHAnsi"/>
              </w:rPr>
              <w:t>D2</w:t>
            </w:r>
            <w:r w:rsidR="000565C5">
              <w:rPr>
                <w:rFonts w:cstheme="minorHAnsi"/>
              </w:rPr>
              <w:t>c</w:t>
            </w:r>
          </w:p>
        </w:tc>
      </w:tr>
    </w:tbl>
    <w:p w14:paraId="0B118C5D" w14:textId="1F210FA2" w:rsidR="00186465" w:rsidRDefault="004A3DA8">
      <w:r>
        <w:rPr>
          <w:noProof/>
        </w:rPr>
        <w:drawing>
          <wp:anchor distT="0" distB="0" distL="114300" distR="114300" simplePos="0" relativeHeight="251658240" behindDoc="0" locked="0" layoutInCell="1" allowOverlap="1" wp14:anchorId="29AB3DE7" wp14:editId="41D05D79">
            <wp:simplePos x="0" y="0"/>
            <wp:positionH relativeFrom="column">
              <wp:posOffset>-333375</wp:posOffset>
            </wp:positionH>
            <wp:positionV relativeFrom="paragraph">
              <wp:posOffset>-352425</wp:posOffset>
            </wp:positionV>
            <wp:extent cx="923925" cy="923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57E527" w14:textId="36BE20C7" w:rsidR="00186465" w:rsidRDefault="00186465"/>
    <w:p w14:paraId="44AC4181" w14:textId="03BB2885" w:rsidR="00186465" w:rsidRDefault="00186465" w:rsidP="006D7E65">
      <w:pPr>
        <w:spacing w:before="161" w:line="276" w:lineRule="auto"/>
        <w:ind w:left="-540" w:right="144"/>
        <w:jc w:val="both"/>
        <w:textAlignment w:val="baseline"/>
        <w:rPr>
          <w:rFonts w:eastAsia="Times New Roman" w:cstheme="minorHAnsi"/>
          <w:color w:val="000000"/>
          <w:sz w:val="24"/>
          <w:szCs w:val="24"/>
        </w:rPr>
      </w:pPr>
      <w:r w:rsidRPr="00186465">
        <w:rPr>
          <w:rFonts w:eastAsia="Times New Roman" w:cstheme="minorHAnsi"/>
          <w:b/>
          <w:bCs/>
          <w:color w:val="000000"/>
          <w:sz w:val="24"/>
          <w:szCs w:val="24"/>
          <w:u w:val="single"/>
        </w:rPr>
        <w:t>POLICY</w:t>
      </w:r>
      <w:r w:rsidRPr="00186465">
        <w:rPr>
          <w:rFonts w:eastAsia="Times New Roman" w:cstheme="minorHAnsi"/>
          <w:color w:val="000000"/>
          <w:sz w:val="24"/>
          <w:szCs w:val="24"/>
        </w:rPr>
        <w:t>:</w:t>
      </w:r>
    </w:p>
    <w:p w14:paraId="595F3BED" w14:textId="122886B6" w:rsidR="0043317B" w:rsidRDefault="00D44D21" w:rsidP="006D7E65">
      <w:pPr>
        <w:pStyle w:val="ListParagraph"/>
        <w:spacing w:before="161" w:line="276" w:lineRule="auto"/>
        <w:ind w:left="0" w:right="144"/>
        <w:jc w:val="both"/>
        <w:textAlignment w:val="baseline"/>
        <w:rPr>
          <w:rFonts w:eastAsia="Times New Roman" w:cstheme="minorHAnsi"/>
          <w:sz w:val="24"/>
          <w:szCs w:val="24"/>
        </w:rPr>
      </w:pPr>
      <w:r w:rsidRPr="00AD7E6D">
        <w:rPr>
          <w:rFonts w:eastAsia="Times New Roman" w:cstheme="minorHAnsi"/>
          <w:sz w:val="24"/>
          <w:szCs w:val="24"/>
        </w:rPr>
        <w:t xml:space="preserve">The </w:t>
      </w:r>
      <w:r>
        <w:rPr>
          <w:rFonts w:eastAsia="Times New Roman" w:cstheme="minorHAnsi"/>
          <w:sz w:val="24"/>
          <w:szCs w:val="24"/>
        </w:rPr>
        <w:t>Ada County Coroner’s Office (ACCO)</w:t>
      </w:r>
      <w:r w:rsidRPr="00AD7E6D">
        <w:rPr>
          <w:rFonts w:eastAsia="Times New Roman" w:cstheme="minorHAnsi"/>
          <w:sz w:val="24"/>
          <w:szCs w:val="24"/>
        </w:rPr>
        <w:t xml:space="preserve"> collect</w:t>
      </w:r>
      <w:r>
        <w:rPr>
          <w:rFonts w:eastAsia="Times New Roman" w:cstheme="minorHAnsi"/>
          <w:sz w:val="24"/>
          <w:szCs w:val="24"/>
        </w:rPr>
        <w:t xml:space="preserve">s, </w:t>
      </w:r>
      <w:r w:rsidR="00A0274C">
        <w:rPr>
          <w:rFonts w:eastAsia="Times New Roman" w:cstheme="minorHAnsi"/>
          <w:sz w:val="24"/>
          <w:szCs w:val="24"/>
        </w:rPr>
        <w:t>submits</w:t>
      </w:r>
      <w:r>
        <w:rPr>
          <w:rFonts w:eastAsia="Times New Roman" w:cstheme="minorHAnsi"/>
          <w:sz w:val="24"/>
          <w:szCs w:val="24"/>
        </w:rPr>
        <w:t>, and retains</w:t>
      </w:r>
      <w:r w:rsidRPr="00AD7E6D">
        <w:rPr>
          <w:rFonts w:eastAsia="Times New Roman" w:cstheme="minorHAnsi"/>
          <w:sz w:val="24"/>
          <w:szCs w:val="24"/>
        </w:rPr>
        <w:t xml:space="preserve"> </w:t>
      </w:r>
      <w:r>
        <w:rPr>
          <w:rFonts w:eastAsia="Times New Roman" w:cstheme="minorHAnsi"/>
          <w:sz w:val="24"/>
          <w:szCs w:val="24"/>
        </w:rPr>
        <w:t>biological specimens</w:t>
      </w:r>
      <w:r w:rsidRPr="00AD7E6D">
        <w:rPr>
          <w:rFonts w:eastAsia="Times New Roman" w:cstheme="minorHAnsi"/>
          <w:sz w:val="24"/>
          <w:szCs w:val="24"/>
        </w:rPr>
        <w:t xml:space="preserve"> as standard practice</w:t>
      </w:r>
      <w:r w:rsidR="00A0274C">
        <w:rPr>
          <w:rFonts w:eastAsia="Times New Roman" w:cstheme="minorHAnsi"/>
          <w:sz w:val="24"/>
          <w:szCs w:val="24"/>
        </w:rPr>
        <w:t xml:space="preserve"> </w:t>
      </w:r>
      <w:r w:rsidR="009A313B">
        <w:rPr>
          <w:rFonts w:eastAsia="Times New Roman" w:cstheme="minorHAnsi"/>
          <w:sz w:val="24"/>
          <w:szCs w:val="24"/>
        </w:rPr>
        <w:t>in accordance with statutory obligations and the mission of the ACCO</w:t>
      </w:r>
      <w:r w:rsidR="00002976">
        <w:rPr>
          <w:rFonts w:eastAsia="Times New Roman" w:cstheme="minorHAnsi"/>
          <w:sz w:val="24"/>
          <w:szCs w:val="24"/>
        </w:rPr>
        <w:t>.</w:t>
      </w:r>
      <w:r w:rsidR="00A0274C">
        <w:rPr>
          <w:rFonts w:eastAsia="Times New Roman" w:cstheme="minorHAnsi"/>
          <w:sz w:val="24"/>
          <w:szCs w:val="24"/>
        </w:rPr>
        <w:t xml:space="preserve"> Specimens collected at the discretion of the forensic pathologist</w:t>
      </w:r>
      <w:r w:rsidR="001040C7">
        <w:rPr>
          <w:rFonts w:eastAsia="Times New Roman" w:cstheme="minorHAnsi"/>
          <w:sz w:val="24"/>
          <w:szCs w:val="24"/>
        </w:rPr>
        <w:t>, or received post examination,</w:t>
      </w:r>
      <w:r w:rsidRPr="00AD7E6D">
        <w:rPr>
          <w:rFonts w:eastAsia="Times New Roman" w:cstheme="minorHAnsi"/>
          <w:sz w:val="24"/>
          <w:szCs w:val="24"/>
        </w:rPr>
        <w:t xml:space="preserve"> </w:t>
      </w:r>
      <w:r w:rsidR="0043317B">
        <w:rPr>
          <w:rFonts w:eastAsia="Times New Roman" w:cstheme="minorHAnsi"/>
          <w:sz w:val="24"/>
          <w:szCs w:val="24"/>
        </w:rPr>
        <w:t>may be</w:t>
      </w:r>
      <w:r>
        <w:rPr>
          <w:rFonts w:eastAsia="Times New Roman" w:cstheme="minorHAnsi"/>
          <w:sz w:val="24"/>
          <w:szCs w:val="24"/>
        </w:rPr>
        <w:t xml:space="preserve"> </w:t>
      </w:r>
      <w:r w:rsidR="00A0274C">
        <w:rPr>
          <w:rFonts w:eastAsia="Times New Roman" w:cstheme="minorHAnsi"/>
          <w:sz w:val="24"/>
          <w:szCs w:val="24"/>
        </w:rPr>
        <w:t xml:space="preserve">submitted </w:t>
      </w:r>
      <w:r w:rsidR="00C91D22">
        <w:rPr>
          <w:rFonts w:eastAsia="Times New Roman" w:cstheme="minorHAnsi"/>
          <w:sz w:val="24"/>
          <w:szCs w:val="24"/>
        </w:rPr>
        <w:t xml:space="preserve">for DNA analysis, </w:t>
      </w:r>
      <w:r w:rsidR="00A0274C">
        <w:rPr>
          <w:rFonts w:eastAsia="Times New Roman" w:cstheme="minorHAnsi"/>
          <w:sz w:val="24"/>
          <w:szCs w:val="24"/>
        </w:rPr>
        <w:t>for testing, or held within a designated and secure area at the ACCO</w:t>
      </w:r>
      <w:r w:rsidR="00E779B1">
        <w:rPr>
          <w:rFonts w:eastAsia="Times New Roman" w:cstheme="minorHAnsi"/>
          <w:sz w:val="24"/>
          <w:szCs w:val="24"/>
        </w:rPr>
        <w:t>,</w:t>
      </w:r>
      <w:r w:rsidR="001040C7">
        <w:rPr>
          <w:rFonts w:eastAsia="Times New Roman" w:cstheme="minorHAnsi"/>
          <w:sz w:val="24"/>
          <w:szCs w:val="24"/>
        </w:rPr>
        <w:t xml:space="preserve"> </w:t>
      </w:r>
      <w:r w:rsidR="002214CF">
        <w:rPr>
          <w:rFonts w:eastAsia="Times New Roman" w:cstheme="minorHAnsi"/>
          <w:sz w:val="24"/>
          <w:szCs w:val="24"/>
        </w:rPr>
        <w:t>pursuant to</w:t>
      </w:r>
      <w:r w:rsidR="009A313B">
        <w:rPr>
          <w:rFonts w:eastAsia="Times New Roman" w:cstheme="minorHAnsi"/>
          <w:sz w:val="24"/>
          <w:szCs w:val="24"/>
        </w:rPr>
        <w:t xml:space="preserve"> </w:t>
      </w:r>
      <w:r w:rsidR="00E373E6">
        <w:rPr>
          <w:rFonts w:eastAsia="Times New Roman" w:cstheme="minorHAnsi"/>
          <w:sz w:val="24"/>
          <w:szCs w:val="24"/>
        </w:rPr>
        <w:t xml:space="preserve">ACCO </w:t>
      </w:r>
      <w:r w:rsidR="009A313B">
        <w:rPr>
          <w:rFonts w:eastAsia="Times New Roman" w:cstheme="minorHAnsi"/>
          <w:sz w:val="24"/>
          <w:szCs w:val="24"/>
        </w:rPr>
        <w:t>standard operating procedures,</w:t>
      </w:r>
      <w:r w:rsidR="00E373E6">
        <w:rPr>
          <w:rFonts w:eastAsia="Times New Roman" w:cstheme="minorHAnsi"/>
          <w:sz w:val="24"/>
          <w:szCs w:val="24"/>
        </w:rPr>
        <w:t xml:space="preserve"> College of American Pathologists (CAP) standards, and </w:t>
      </w:r>
      <w:r w:rsidR="009A313B">
        <w:rPr>
          <w:rFonts w:eastAsia="Times New Roman" w:cstheme="minorHAnsi"/>
          <w:sz w:val="24"/>
          <w:szCs w:val="24"/>
        </w:rPr>
        <w:t>F</w:t>
      </w:r>
      <w:r w:rsidR="0043317B">
        <w:rPr>
          <w:rFonts w:eastAsia="Times New Roman" w:cstheme="minorHAnsi"/>
          <w:sz w:val="24"/>
          <w:szCs w:val="24"/>
        </w:rPr>
        <w:t xml:space="preserve">orensic </w:t>
      </w:r>
      <w:r w:rsidR="009A313B">
        <w:rPr>
          <w:rFonts w:eastAsia="Times New Roman" w:cstheme="minorHAnsi"/>
          <w:sz w:val="24"/>
          <w:szCs w:val="24"/>
        </w:rPr>
        <w:t>A</w:t>
      </w:r>
      <w:r w:rsidR="0043317B">
        <w:rPr>
          <w:rFonts w:eastAsia="Times New Roman" w:cstheme="minorHAnsi"/>
          <w:sz w:val="24"/>
          <w:szCs w:val="24"/>
        </w:rPr>
        <w:t xml:space="preserve">utopsy </w:t>
      </w:r>
      <w:r w:rsidR="009A313B">
        <w:rPr>
          <w:rFonts w:eastAsia="Times New Roman" w:cstheme="minorHAnsi"/>
          <w:sz w:val="24"/>
          <w:szCs w:val="24"/>
        </w:rPr>
        <w:t>P</w:t>
      </w:r>
      <w:r w:rsidR="0043317B">
        <w:rPr>
          <w:rFonts w:eastAsia="Times New Roman" w:cstheme="minorHAnsi"/>
          <w:sz w:val="24"/>
          <w:szCs w:val="24"/>
        </w:rPr>
        <w:t xml:space="preserve">erformance </w:t>
      </w:r>
      <w:r w:rsidR="009A313B">
        <w:rPr>
          <w:rFonts w:eastAsia="Times New Roman" w:cstheme="minorHAnsi"/>
          <w:sz w:val="24"/>
          <w:szCs w:val="24"/>
        </w:rPr>
        <w:t>S</w:t>
      </w:r>
      <w:r w:rsidR="0043317B">
        <w:rPr>
          <w:rFonts w:eastAsia="Times New Roman" w:cstheme="minorHAnsi"/>
          <w:sz w:val="24"/>
          <w:szCs w:val="24"/>
        </w:rPr>
        <w:t>tandards</w:t>
      </w:r>
      <w:r w:rsidR="00E779B1">
        <w:rPr>
          <w:rFonts w:eastAsia="Times New Roman" w:cstheme="minorHAnsi"/>
          <w:sz w:val="24"/>
          <w:szCs w:val="24"/>
        </w:rPr>
        <w:t>.</w:t>
      </w:r>
    </w:p>
    <w:p w14:paraId="0480E994" w14:textId="608D742F" w:rsidR="001412B6" w:rsidRPr="00002976" w:rsidRDefault="001412B6" w:rsidP="006D7E65">
      <w:pPr>
        <w:spacing w:before="161" w:line="276" w:lineRule="auto"/>
        <w:ind w:right="144"/>
        <w:jc w:val="both"/>
        <w:textAlignment w:val="baseline"/>
        <w:rPr>
          <w:rFonts w:eastAsia="Times New Roman" w:cstheme="minorHAnsi"/>
          <w:b/>
          <w:bCs/>
          <w:color w:val="000000"/>
          <w:sz w:val="24"/>
          <w:szCs w:val="24"/>
        </w:rPr>
      </w:pPr>
    </w:p>
    <w:p w14:paraId="2DAF095D" w14:textId="2F8C551A" w:rsidR="001412B6" w:rsidRPr="00002976" w:rsidRDefault="001412B6" w:rsidP="006D7E65">
      <w:pPr>
        <w:spacing w:before="161" w:line="276" w:lineRule="auto"/>
        <w:ind w:left="-540" w:right="144"/>
        <w:jc w:val="both"/>
        <w:textAlignment w:val="baseline"/>
        <w:rPr>
          <w:rFonts w:eastAsia="Times New Roman" w:cstheme="minorHAnsi"/>
          <w:color w:val="000000"/>
          <w:sz w:val="24"/>
          <w:szCs w:val="24"/>
        </w:rPr>
      </w:pPr>
      <w:r w:rsidRPr="00002976">
        <w:rPr>
          <w:rFonts w:eastAsia="Times New Roman" w:cstheme="minorHAnsi"/>
          <w:b/>
          <w:bCs/>
          <w:color w:val="000000"/>
          <w:sz w:val="24"/>
          <w:szCs w:val="24"/>
          <w:u w:val="single"/>
        </w:rPr>
        <w:t>PROCEDURE</w:t>
      </w:r>
      <w:r w:rsidRPr="00002976">
        <w:rPr>
          <w:rFonts w:eastAsia="Times New Roman" w:cstheme="minorHAnsi"/>
          <w:color w:val="000000"/>
          <w:sz w:val="24"/>
          <w:szCs w:val="24"/>
        </w:rPr>
        <w:t>:</w:t>
      </w:r>
    </w:p>
    <w:p w14:paraId="6226D8DF" w14:textId="222C5591" w:rsidR="0064203A" w:rsidRDefault="00E21121" w:rsidP="006D7E65">
      <w:pPr>
        <w:pStyle w:val="ListParagraph"/>
        <w:numPr>
          <w:ilvl w:val="0"/>
          <w:numId w:val="1"/>
        </w:numPr>
        <w:ind w:left="180"/>
        <w:jc w:val="both"/>
        <w:rPr>
          <w:b/>
          <w:bCs/>
          <w:sz w:val="24"/>
          <w:szCs w:val="24"/>
        </w:rPr>
      </w:pPr>
      <w:r w:rsidRPr="00002976">
        <w:rPr>
          <w:b/>
          <w:bCs/>
          <w:sz w:val="24"/>
          <w:szCs w:val="24"/>
        </w:rPr>
        <w:t>General</w:t>
      </w:r>
    </w:p>
    <w:p w14:paraId="36852467" w14:textId="7FD50491" w:rsidR="008B2E5E" w:rsidRDefault="008B2E5E" w:rsidP="006D7E65">
      <w:pPr>
        <w:pStyle w:val="ListParagraph"/>
        <w:numPr>
          <w:ilvl w:val="1"/>
          <w:numId w:val="1"/>
        </w:numPr>
        <w:ind w:left="900"/>
        <w:jc w:val="both"/>
        <w:rPr>
          <w:sz w:val="24"/>
          <w:szCs w:val="24"/>
        </w:rPr>
      </w:pPr>
      <w:r>
        <w:rPr>
          <w:sz w:val="24"/>
          <w:szCs w:val="24"/>
        </w:rPr>
        <w:t>Specimens and samples shall be collected during the postmortem examination to the extent allowed by the condition of the remains, and with consideration given to the length of hospitalization in applicable cases.</w:t>
      </w:r>
    </w:p>
    <w:p w14:paraId="19DB5E37" w14:textId="70C01D72" w:rsidR="00A420CE" w:rsidRDefault="00A420CE" w:rsidP="006D7E65">
      <w:pPr>
        <w:pStyle w:val="ListParagraph"/>
        <w:numPr>
          <w:ilvl w:val="1"/>
          <w:numId w:val="1"/>
        </w:numPr>
        <w:ind w:left="900"/>
        <w:jc w:val="both"/>
        <w:rPr>
          <w:sz w:val="24"/>
          <w:szCs w:val="24"/>
        </w:rPr>
      </w:pPr>
      <w:r w:rsidRPr="00A420CE">
        <w:rPr>
          <w:sz w:val="24"/>
          <w:szCs w:val="24"/>
        </w:rPr>
        <w:t>All specimen</w:t>
      </w:r>
      <w:r>
        <w:rPr>
          <w:sz w:val="24"/>
          <w:szCs w:val="24"/>
        </w:rPr>
        <w:t xml:space="preserve"> containers shall be labeled in accordance with standard operating procedures.</w:t>
      </w:r>
    </w:p>
    <w:p w14:paraId="6BC06186" w14:textId="4AA73F18" w:rsidR="001C021F" w:rsidRDefault="00E84BA7" w:rsidP="006D7E65">
      <w:pPr>
        <w:pStyle w:val="ListParagraph"/>
        <w:numPr>
          <w:ilvl w:val="1"/>
          <w:numId w:val="1"/>
        </w:numPr>
        <w:ind w:left="900"/>
        <w:jc w:val="both"/>
        <w:rPr>
          <w:sz w:val="24"/>
          <w:szCs w:val="24"/>
        </w:rPr>
      </w:pPr>
      <w:r>
        <w:rPr>
          <w:sz w:val="24"/>
          <w:szCs w:val="24"/>
        </w:rPr>
        <w:t>N</w:t>
      </w:r>
      <w:r w:rsidR="001C021F">
        <w:rPr>
          <w:sz w:val="24"/>
          <w:szCs w:val="24"/>
        </w:rPr>
        <w:t>otation</w:t>
      </w:r>
      <w:r>
        <w:rPr>
          <w:sz w:val="24"/>
          <w:szCs w:val="24"/>
        </w:rPr>
        <w:t>s</w:t>
      </w:r>
      <w:r w:rsidR="001C021F">
        <w:rPr>
          <w:sz w:val="24"/>
          <w:szCs w:val="24"/>
        </w:rPr>
        <w:t xml:space="preserve"> shall be made in the ACCO case management system detailing the specimens collected, retained, submitted for testing</w:t>
      </w:r>
      <w:r w:rsidR="00865ECF">
        <w:rPr>
          <w:sz w:val="24"/>
          <w:szCs w:val="24"/>
        </w:rPr>
        <w:t xml:space="preserve">, and </w:t>
      </w:r>
      <w:r>
        <w:rPr>
          <w:sz w:val="24"/>
          <w:szCs w:val="24"/>
        </w:rPr>
        <w:t xml:space="preserve">those that have </w:t>
      </w:r>
      <w:r w:rsidR="00865ECF">
        <w:rPr>
          <w:sz w:val="24"/>
          <w:szCs w:val="24"/>
        </w:rPr>
        <w:t>undergone biohazardous disposal</w:t>
      </w:r>
      <w:r w:rsidR="001C021F">
        <w:rPr>
          <w:sz w:val="24"/>
          <w:szCs w:val="24"/>
        </w:rPr>
        <w:t>.</w:t>
      </w:r>
    </w:p>
    <w:p w14:paraId="1536A0B8" w14:textId="6C40A51A" w:rsidR="001C021F" w:rsidRPr="00A267E1" w:rsidRDefault="001C021F" w:rsidP="006D7E65">
      <w:pPr>
        <w:pStyle w:val="ListParagraph"/>
        <w:numPr>
          <w:ilvl w:val="1"/>
          <w:numId w:val="1"/>
        </w:numPr>
        <w:ind w:left="900"/>
        <w:jc w:val="both"/>
        <w:rPr>
          <w:sz w:val="24"/>
          <w:szCs w:val="24"/>
          <w:highlight w:val="yellow"/>
        </w:rPr>
      </w:pPr>
      <w:r w:rsidRPr="00A267E1">
        <w:rPr>
          <w:sz w:val="24"/>
          <w:szCs w:val="24"/>
          <w:highlight w:val="yellow"/>
        </w:rPr>
        <w:t>Chain of custody shall be followed for specimen collection and release.</w:t>
      </w:r>
    </w:p>
    <w:p w14:paraId="3B600DB6" w14:textId="1E39E36E" w:rsidR="008B2E5E" w:rsidRPr="00A420CE" w:rsidRDefault="008B2E5E" w:rsidP="006D7E65">
      <w:pPr>
        <w:pStyle w:val="ListParagraph"/>
        <w:numPr>
          <w:ilvl w:val="1"/>
          <w:numId w:val="1"/>
        </w:numPr>
        <w:ind w:left="900"/>
        <w:jc w:val="both"/>
        <w:rPr>
          <w:sz w:val="24"/>
          <w:szCs w:val="24"/>
        </w:rPr>
      </w:pPr>
      <w:r>
        <w:rPr>
          <w:sz w:val="24"/>
          <w:szCs w:val="24"/>
        </w:rPr>
        <w:t>Specimens will be retained for the periods outlined in standard operating procedures and then will undergo biohazard disposal at the next available opportunity based on available staff and current caseload.</w:t>
      </w:r>
    </w:p>
    <w:p w14:paraId="25BA24B0" w14:textId="64D0C5B3" w:rsidR="00E21121" w:rsidRDefault="00E21121" w:rsidP="006D7E65">
      <w:pPr>
        <w:pStyle w:val="ListParagraph"/>
        <w:numPr>
          <w:ilvl w:val="0"/>
          <w:numId w:val="1"/>
        </w:numPr>
        <w:ind w:left="180"/>
        <w:jc w:val="both"/>
        <w:rPr>
          <w:b/>
          <w:bCs/>
          <w:sz w:val="24"/>
          <w:szCs w:val="24"/>
        </w:rPr>
      </w:pPr>
      <w:r w:rsidRPr="00002976">
        <w:rPr>
          <w:b/>
          <w:bCs/>
          <w:sz w:val="24"/>
          <w:szCs w:val="24"/>
        </w:rPr>
        <w:t>Collection</w:t>
      </w:r>
    </w:p>
    <w:p w14:paraId="383D5180" w14:textId="2BE60E32" w:rsidR="000F26B7" w:rsidRDefault="000F26B7" w:rsidP="006D7E65">
      <w:pPr>
        <w:pStyle w:val="ListParagraph"/>
        <w:numPr>
          <w:ilvl w:val="1"/>
          <w:numId w:val="1"/>
        </w:numPr>
        <w:ind w:left="900"/>
        <w:jc w:val="both"/>
        <w:rPr>
          <w:sz w:val="24"/>
          <w:szCs w:val="24"/>
        </w:rPr>
      </w:pPr>
      <w:r w:rsidRPr="000F26B7">
        <w:rPr>
          <w:sz w:val="24"/>
          <w:szCs w:val="24"/>
        </w:rPr>
        <w:t xml:space="preserve">Specimens </w:t>
      </w:r>
      <w:r>
        <w:rPr>
          <w:sz w:val="24"/>
          <w:szCs w:val="24"/>
        </w:rPr>
        <w:t>shall be collected under the supervision and at the request of the forensic pathologist.</w:t>
      </w:r>
    </w:p>
    <w:p w14:paraId="33BB5FC5" w14:textId="37EEAFBB" w:rsidR="000F26B7" w:rsidRDefault="000F26B7" w:rsidP="006D7E65">
      <w:pPr>
        <w:pStyle w:val="ListParagraph"/>
        <w:numPr>
          <w:ilvl w:val="1"/>
          <w:numId w:val="1"/>
        </w:numPr>
        <w:ind w:left="900"/>
        <w:jc w:val="both"/>
        <w:rPr>
          <w:sz w:val="24"/>
          <w:szCs w:val="24"/>
        </w:rPr>
      </w:pPr>
      <w:r>
        <w:rPr>
          <w:sz w:val="24"/>
          <w:szCs w:val="24"/>
        </w:rPr>
        <w:t xml:space="preserve">Blood, </w:t>
      </w:r>
      <w:r w:rsidR="00E373E6">
        <w:rPr>
          <w:sz w:val="24"/>
          <w:szCs w:val="24"/>
        </w:rPr>
        <w:t>with preference given to peripheral,</w:t>
      </w:r>
      <w:r>
        <w:rPr>
          <w:sz w:val="24"/>
          <w:szCs w:val="24"/>
        </w:rPr>
        <w:t xml:space="preserve"> vitreous fluid, and urine shall be collected when available.</w:t>
      </w:r>
    </w:p>
    <w:p w14:paraId="67277F83" w14:textId="3EA75809" w:rsidR="002C7F51" w:rsidRDefault="00E373E6" w:rsidP="006D7E65">
      <w:pPr>
        <w:pStyle w:val="ListParagraph"/>
        <w:numPr>
          <w:ilvl w:val="2"/>
          <w:numId w:val="1"/>
        </w:numPr>
        <w:ind w:left="1620"/>
        <w:jc w:val="both"/>
        <w:rPr>
          <w:sz w:val="24"/>
          <w:szCs w:val="24"/>
        </w:rPr>
      </w:pPr>
      <w:r>
        <w:rPr>
          <w:sz w:val="24"/>
          <w:szCs w:val="24"/>
        </w:rPr>
        <w:t>The appropriate color</w:t>
      </w:r>
      <w:r w:rsidR="000F26B7">
        <w:rPr>
          <w:sz w:val="24"/>
          <w:szCs w:val="24"/>
        </w:rPr>
        <w:t xml:space="preserve"> top</w:t>
      </w:r>
      <w:r w:rsidR="002C7F51">
        <w:rPr>
          <w:sz w:val="24"/>
          <w:szCs w:val="24"/>
        </w:rPr>
        <w:t>ped containers shall be used</w:t>
      </w:r>
      <w:r w:rsidR="000F26B7">
        <w:rPr>
          <w:sz w:val="24"/>
          <w:szCs w:val="24"/>
        </w:rPr>
        <w:t xml:space="preserve"> for blood</w:t>
      </w:r>
      <w:r w:rsidR="002C7F51">
        <w:rPr>
          <w:sz w:val="24"/>
          <w:szCs w:val="24"/>
        </w:rPr>
        <w:t xml:space="preserve"> specimens.</w:t>
      </w:r>
    </w:p>
    <w:p w14:paraId="6EE13EA2" w14:textId="23F7CA38" w:rsidR="000F26B7" w:rsidRDefault="002C7F51" w:rsidP="006D7E65">
      <w:pPr>
        <w:pStyle w:val="ListParagraph"/>
        <w:numPr>
          <w:ilvl w:val="2"/>
          <w:numId w:val="1"/>
        </w:numPr>
        <w:ind w:left="1620"/>
        <w:jc w:val="both"/>
        <w:rPr>
          <w:sz w:val="24"/>
          <w:szCs w:val="24"/>
        </w:rPr>
      </w:pPr>
      <w:r>
        <w:rPr>
          <w:sz w:val="24"/>
          <w:szCs w:val="24"/>
        </w:rPr>
        <w:lastRenderedPageBreak/>
        <w:t>C</w:t>
      </w:r>
      <w:r w:rsidR="000F26B7">
        <w:rPr>
          <w:sz w:val="24"/>
          <w:szCs w:val="24"/>
        </w:rPr>
        <w:t xml:space="preserve">ontainers without preservative media </w:t>
      </w:r>
      <w:r>
        <w:rPr>
          <w:sz w:val="24"/>
          <w:szCs w:val="24"/>
        </w:rPr>
        <w:t xml:space="preserve">shall be used </w:t>
      </w:r>
      <w:r w:rsidR="000F26B7">
        <w:rPr>
          <w:sz w:val="24"/>
          <w:szCs w:val="24"/>
        </w:rPr>
        <w:t>for urine and vitreous specimens.</w:t>
      </w:r>
    </w:p>
    <w:p w14:paraId="74158E7F" w14:textId="29F093D7" w:rsidR="00A420CE" w:rsidRDefault="00E373E6" w:rsidP="006D7E65">
      <w:pPr>
        <w:pStyle w:val="ListParagraph"/>
        <w:numPr>
          <w:ilvl w:val="2"/>
          <w:numId w:val="1"/>
        </w:numPr>
        <w:ind w:left="1620"/>
        <w:jc w:val="both"/>
        <w:rPr>
          <w:sz w:val="24"/>
          <w:szCs w:val="24"/>
        </w:rPr>
      </w:pPr>
      <w:r>
        <w:rPr>
          <w:sz w:val="24"/>
          <w:szCs w:val="24"/>
        </w:rPr>
        <w:t>Frozen t</w:t>
      </w:r>
      <w:r w:rsidR="00A420CE">
        <w:rPr>
          <w:sz w:val="24"/>
          <w:szCs w:val="24"/>
        </w:rPr>
        <w:t>issue specimens shall be collected in containers without preservative media.</w:t>
      </w:r>
    </w:p>
    <w:p w14:paraId="74F523CB" w14:textId="721A0850" w:rsidR="000F26B7" w:rsidRDefault="00A750E6" w:rsidP="006D7E65">
      <w:pPr>
        <w:pStyle w:val="ListParagraph"/>
        <w:numPr>
          <w:ilvl w:val="1"/>
          <w:numId w:val="1"/>
        </w:numPr>
        <w:ind w:left="900"/>
        <w:jc w:val="both"/>
        <w:rPr>
          <w:sz w:val="24"/>
          <w:szCs w:val="24"/>
        </w:rPr>
      </w:pPr>
      <w:r>
        <w:rPr>
          <w:sz w:val="24"/>
          <w:szCs w:val="24"/>
        </w:rPr>
        <w:t>When viable fluid is unavailable, r</w:t>
      </w:r>
      <w:r w:rsidR="000F26B7">
        <w:rPr>
          <w:sz w:val="24"/>
          <w:szCs w:val="24"/>
        </w:rPr>
        <w:t xml:space="preserve">epresentative samples </w:t>
      </w:r>
      <w:r>
        <w:rPr>
          <w:sz w:val="24"/>
          <w:szCs w:val="24"/>
        </w:rPr>
        <w:t>shall</w:t>
      </w:r>
      <w:r w:rsidR="000F26B7">
        <w:rPr>
          <w:sz w:val="24"/>
          <w:szCs w:val="24"/>
        </w:rPr>
        <w:t xml:space="preserve"> be collected for potential analysis as directed by the forensic pathologist.</w:t>
      </w:r>
    </w:p>
    <w:p w14:paraId="6BBDCC3D" w14:textId="51128EC7" w:rsidR="00A750E6" w:rsidRDefault="00A750E6" w:rsidP="006D7E65">
      <w:pPr>
        <w:pStyle w:val="ListParagraph"/>
        <w:numPr>
          <w:ilvl w:val="1"/>
          <w:numId w:val="1"/>
        </w:numPr>
        <w:ind w:left="900"/>
        <w:jc w:val="both"/>
        <w:rPr>
          <w:sz w:val="24"/>
          <w:szCs w:val="24"/>
        </w:rPr>
      </w:pPr>
      <w:r>
        <w:rPr>
          <w:sz w:val="24"/>
          <w:szCs w:val="24"/>
        </w:rPr>
        <w:t>Additional specimens may be collected as directed by the forensic pathologist.</w:t>
      </w:r>
    </w:p>
    <w:p w14:paraId="65C51D65" w14:textId="7E2D459A" w:rsidR="00A420CE" w:rsidRDefault="00A420CE" w:rsidP="006D7E65">
      <w:pPr>
        <w:pStyle w:val="ListParagraph"/>
        <w:numPr>
          <w:ilvl w:val="1"/>
          <w:numId w:val="1"/>
        </w:numPr>
        <w:ind w:left="900"/>
        <w:jc w:val="both"/>
        <w:rPr>
          <w:sz w:val="24"/>
          <w:szCs w:val="24"/>
        </w:rPr>
      </w:pPr>
      <w:r>
        <w:rPr>
          <w:sz w:val="24"/>
          <w:szCs w:val="24"/>
        </w:rPr>
        <w:t>Representative tissue sections collected by the forensic pathologist during the postmortem examination shall be placed in formalin-filled containers.</w:t>
      </w:r>
    </w:p>
    <w:p w14:paraId="17E9511D" w14:textId="7AE1E008" w:rsidR="00E21121" w:rsidRDefault="00D6391A" w:rsidP="006D7E65">
      <w:pPr>
        <w:pStyle w:val="ListParagraph"/>
        <w:numPr>
          <w:ilvl w:val="0"/>
          <w:numId w:val="1"/>
        </w:numPr>
        <w:ind w:left="180"/>
        <w:jc w:val="both"/>
        <w:rPr>
          <w:b/>
          <w:bCs/>
          <w:sz w:val="24"/>
          <w:szCs w:val="24"/>
        </w:rPr>
      </w:pPr>
      <w:r>
        <w:rPr>
          <w:b/>
          <w:bCs/>
          <w:sz w:val="24"/>
          <w:szCs w:val="24"/>
        </w:rPr>
        <w:t>Storage and Disposal</w:t>
      </w:r>
    </w:p>
    <w:p w14:paraId="36131E53" w14:textId="6AE79104" w:rsidR="007F0349" w:rsidRDefault="008B2E5E" w:rsidP="006D7E65">
      <w:pPr>
        <w:pStyle w:val="ListParagraph"/>
        <w:numPr>
          <w:ilvl w:val="1"/>
          <w:numId w:val="1"/>
        </w:numPr>
        <w:ind w:left="900"/>
        <w:jc w:val="both"/>
        <w:rPr>
          <w:sz w:val="24"/>
          <w:szCs w:val="24"/>
        </w:rPr>
      </w:pPr>
      <w:r>
        <w:rPr>
          <w:sz w:val="24"/>
          <w:szCs w:val="24"/>
        </w:rPr>
        <w:t>Specimen disposal</w:t>
      </w:r>
      <w:r w:rsidR="00FD1C03" w:rsidRPr="00FD1C03">
        <w:rPr>
          <w:sz w:val="24"/>
          <w:szCs w:val="24"/>
        </w:rPr>
        <w:t xml:space="preserve"> will follow </w:t>
      </w:r>
      <w:r w:rsidR="00FD1C03">
        <w:rPr>
          <w:sz w:val="24"/>
          <w:szCs w:val="24"/>
        </w:rPr>
        <w:t>established guidelines from the College of American Pathologists, ACCO standard operating procedures, and at the discretion of the Ada County Coroner</w:t>
      </w:r>
      <w:r w:rsidR="00E373E6">
        <w:rPr>
          <w:sz w:val="24"/>
          <w:szCs w:val="24"/>
        </w:rPr>
        <w:t xml:space="preserve"> and forensic pathologist</w:t>
      </w:r>
      <w:r w:rsidR="00FD1C03">
        <w:rPr>
          <w:sz w:val="24"/>
          <w:szCs w:val="24"/>
        </w:rPr>
        <w:t>.</w:t>
      </w:r>
    </w:p>
    <w:p w14:paraId="5C8A0593" w14:textId="39D45D37" w:rsidR="00FD1C03" w:rsidRDefault="00AD2593" w:rsidP="006D7E65">
      <w:pPr>
        <w:pStyle w:val="ListParagraph"/>
        <w:numPr>
          <w:ilvl w:val="1"/>
          <w:numId w:val="1"/>
        </w:numPr>
        <w:ind w:left="900"/>
        <w:jc w:val="both"/>
        <w:rPr>
          <w:sz w:val="24"/>
          <w:szCs w:val="24"/>
        </w:rPr>
      </w:pPr>
      <w:r>
        <w:rPr>
          <w:sz w:val="24"/>
          <w:szCs w:val="24"/>
        </w:rPr>
        <w:t>Any specimen</w:t>
      </w:r>
      <w:r w:rsidR="00FD1C03">
        <w:rPr>
          <w:sz w:val="24"/>
          <w:szCs w:val="24"/>
        </w:rPr>
        <w:t xml:space="preserve"> collected from </w:t>
      </w:r>
      <w:r w:rsidR="005D7E93">
        <w:rPr>
          <w:sz w:val="24"/>
          <w:szCs w:val="24"/>
        </w:rPr>
        <w:t>a death classified as</w:t>
      </w:r>
      <w:r w:rsidR="00473401">
        <w:rPr>
          <w:sz w:val="24"/>
          <w:szCs w:val="24"/>
        </w:rPr>
        <w:t xml:space="preserve"> either</w:t>
      </w:r>
      <w:r w:rsidR="005D7E93">
        <w:rPr>
          <w:sz w:val="24"/>
          <w:szCs w:val="24"/>
        </w:rPr>
        <w:t xml:space="preserve"> homicide</w:t>
      </w:r>
      <w:r w:rsidR="00473401">
        <w:rPr>
          <w:sz w:val="24"/>
          <w:szCs w:val="24"/>
        </w:rPr>
        <w:t xml:space="preserve"> or undetermined</w:t>
      </w:r>
      <w:r w:rsidR="00FD1C03">
        <w:rPr>
          <w:sz w:val="24"/>
          <w:szCs w:val="24"/>
        </w:rPr>
        <w:t xml:space="preserve"> shall be retained </w:t>
      </w:r>
      <w:r w:rsidR="005D7E93">
        <w:rPr>
          <w:sz w:val="24"/>
          <w:szCs w:val="24"/>
        </w:rPr>
        <w:t>indefinitely</w:t>
      </w:r>
      <w:r w:rsidR="00E373E6">
        <w:rPr>
          <w:sz w:val="24"/>
          <w:szCs w:val="24"/>
        </w:rPr>
        <w:t>.</w:t>
      </w:r>
    </w:p>
    <w:p w14:paraId="0D26A00A" w14:textId="1C9CD362" w:rsidR="00FD1C03" w:rsidRPr="00FD1C03" w:rsidRDefault="00E373E6" w:rsidP="006D7E65">
      <w:pPr>
        <w:pStyle w:val="ListParagraph"/>
        <w:numPr>
          <w:ilvl w:val="1"/>
          <w:numId w:val="1"/>
        </w:numPr>
        <w:ind w:left="900"/>
        <w:jc w:val="both"/>
        <w:rPr>
          <w:sz w:val="24"/>
          <w:szCs w:val="24"/>
        </w:rPr>
      </w:pPr>
      <w:r>
        <w:rPr>
          <w:sz w:val="24"/>
          <w:szCs w:val="24"/>
        </w:rPr>
        <w:t>A specimen, for the purpose of DNA analysis, shall be retained for every postmortem examination.</w:t>
      </w:r>
    </w:p>
    <w:p w14:paraId="1A878FF7" w14:textId="48EC2F72" w:rsidR="00E21121" w:rsidRDefault="00E21121" w:rsidP="006D7E65">
      <w:pPr>
        <w:pStyle w:val="ListParagraph"/>
        <w:numPr>
          <w:ilvl w:val="0"/>
          <w:numId w:val="1"/>
        </w:numPr>
        <w:ind w:left="180"/>
        <w:jc w:val="both"/>
        <w:rPr>
          <w:b/>
          <w:bCs/>
          <w:sz w:val="24"/>
          <w:szCs w:val="24"/>
        </w:rPr>
      </w:pPr>
      <w:r w:rsidRPr="00002976">
        <w:rPr>
          <w:b/>
          <w:bCs/>
          <w:sz w:val="24"/>
          <w:szCs w:val="24"/>
        </w:rPr>
        <w:t>Notification</w:t>
      </w:r>
    </w:p>
    <w:p w14:paraId="01125F1B" w14:textId="7ECB483B" w:rsidR="009301D6" w:rsidRDefault="009301D6" w:rsidP="006D7E65">
      <w:pPr>
        <w:pStyle w:val="ListParagraph"/>
        <w:numPr>
          <w:ilvl w:val="1"/>
          <w:numId w:val="1"/>
        </w:numPr>
        <w:ind w:left="900"/>
        <w:jc w:val="both"/>
        <w:rPr>
          <w:sz w:val="24"/>
          <w:szCs w:val="24"/>
        </w:rPr>
      </w:pPr>
      <w:r>
        <w:rPr>
          <w:sz w:val="24"/>
          <w:szCs w:val="24"/>
        </w:rPr>
        <w:t xml:space="preserve">Within the Policy Statement and Request to Release Body and Organs </w:t>
      </w:r>
      <w:r w:rsidR="00E6765C">
        <w:rPr>
          <w:sz w:val="24"/>
          <w:szCs w:val="24"/>
        </w:rPr>
        <w:t>document</w:t>
      </w:r>
      <w:r>
        <w:rPr>
          <w:sz w:val="24"/>
          <w:szCs w:val="24"/>
        </w:rPr>
        <w:t>, the legal next-of-kin</w:t>
      </w:r>
      <w:r w:rsidR="00646175">
        <w:rPr>
          <w:sz w:val="24"/>
          <w:szCs w:val="24"/>
        </w:rPr>
        <w:t>,</w:t>
      </w:r>
      <w:r>
        <w:rPr>
          <w:sz w:val="24"/>
          <w:szCs w:val="24"/>
        </w:rPr>
        <w:t xml:space="preserve"> or </w:t>
      </w:r>
      <w:r w:rsidR="00646175">
        <w:rPr>
          <w:rFonts w:eastAsia="Times New Roman" w:cstheme="minorHAnsi"/>
          <w:color w:val="000000"/>
          <w:sz w:val="24"/>
          <w:szCs w:val="24"/>
        </w:rPr>
        <w:t>person authorized by law to receive the remains,</w:t>
      </w:r>
      <w:r w:rsidR="00646175">
        <w:rPr>
          <w:sz w:val="24"/>
          <w:szCs w:val="24"/>
        </w:rPr>
        <w:t xml:space="preserve"> </w:t>
      </w:r>
      <w:r>
        <w:rPr>
          <w:sz w:val="24"/>
          <w:szCs w:val="24"/>
        </w:rPr>
        <w:t xml:space="preserve">shall be </w:t>
      </w:r>
      <w:r w:rsidR="00E6765C">
        <w:rPr>
          <w:sz w:val="24"/>
          <w:szCs w:val="24"/>
        </w:rPr>
        <w:t>informed</w:t>
      </w:r>
      <w:r>
        <w:rPr>
          <w:sz w:val="24"/>
          <w:szCs w:val="24"/>
        </w:rPr>
        <w:t xml:space="preserve"> that:</w:t>
      </w:r>
    </w:p>
    <w:p w14:paraId="27E4FC1C" w14:textId="1F8440B9" w:rsidR="0041674A" w:rsidRDefault="009301D6" w:rsidP="006D7E65">
      <w:pPr>
        <w:pStyle w:val="ListParagraph"/>
        <w:numPr>
          <w:ilvl w:val="2"/>
          <w:numId w:val="1"/>
        </w:numPr>
        <w:ind w:left="1620"/>
        <w:jc w:val="both"/>
        <w:rPr>
          <w:sz w:val="24"/>
          <w:szCs w:val="24"/>
        </w:rPr>
      </w:pPr>
      <w:r>
        <w:rPr>
          <w:sz w:val="24"/>
          <w:szCs w:val="24"/>
        </w:rPr>
        <w:t xml:space="preserve">One or more whole organs may be retained for an extended </w:t>
      </w:r>
      <w:proofErr w:type="gramStart"/>
      <w:r>
        <w:rPr>
          <w:sz w:val="24"/>
          <w:szCs w:val="24"/>
        </w:rPr>
        <w:t>period of time</w:t>
      </w:r>
      <w:proofErr w:type="gramEnd"/>
      <w:r>
        <w:rPr>
          <w:sz w:val="24"/>
          <w:szCs w:val="24"/>
        </w:rPr>
        <w:t xml:space="preserve"> to complete examination and testing.</w:t>
      </w:r>
    </w:p>
    <w:p w14:paraId="2FB3CA95" w14:textId="4CE17018" w:rsidR="009301D6" w:rsidRDefault="00E6765C" w:rsidP="006D7E65">
      <w:pPr>
        <w:pStyle w:val="ListParagraph"/>
        <w:numPr>
          <w:ilvl w:val="2"/>
          <w:numId w:val="1"/>
        </w:numPr>
        <w:ind w:left="1620"/>
        <w:jc w:val="both"/>
        <w:rPr>
          <w:sz w:val="24"/>
          <w:szCs w:val="24"/>
        </w:rPr>
      </w:pPr>
      <w:r>
        <w:rPr>
          <w:sz w:val="24"/>
          <w:szCs w:val="24"/>
        </w:rPr>
        <w:t>Specimen</w:t>
      </w:r>
      <w:r w:rsidR="009301D6">
        <w:rPr>
          <w:sz w:val="24"/>
          <w:szCs w:val="24"/>
        </w:rPr>
        <w:t xml:space="preserve"> may be kept </w:t>
      </w:r>
      <w:r w:rsidR="00F133E9">
        <w:rPr>
          <w:sz w:val="24"/>
          <w:szCs w:val="24"/>
        </w:rPr>
        <w:t>as</w:t>
      </w:r>
      <w:r w:rsidR="009301D6">
        <w:rPr>
          <w:sz w:val="24"/>
          <w:szCs w:val="24"/>
        </w:rPr>
        <w:t xml:space="preserve"> evidence in determining cause and manner of death for any related criminal case.</w:t>
      </w:r>
    </w:p>
    <w:p w14:paraId="55DAA879" w14:textId="76D0DFDD" w:rsidR="009301D6" w:rsidRDefault="009301D6" w:rsidP="006D7E65">
      <w:pPr>
        <w:pStyle w:val="ListParagraph"/>
        <w:numPr>
          <w:ilvl w:val="2"/>
          <w:numId w:val="1"/>
        </w:numPr>
        <w:ind w:left="1620"/>
        <w:jc w:val="both"/>
        <w:rPr>
          <w:sz w:val="24"/>
          <w:szCs w:val="24"/>
        </w:rPr>
      </w:pPr>
      <w:r>
        <w:rPr>
          <w:sz w:val="24"/>
          <w:szCs w:val="24"/>
        </w:rPr>
        <w:t xml:space="preserve">Upon written request from an attorney, the ACCO may retain </w:t>
      </w:r>
      <w:r w:rsidR="00E6765C">
        <w:rPr>
          <w:sz w:val="24"/>
          <w:szCs w:val="24"/>
        </w:rPr>
        <w:t>specimen</w:t>
      </w:r>
      <w:r>
        <w:rPr>
          <w:sz w:val="24"/>
          <w:szCs w:val="24"/>
        </w:rPr>
        <w:t xml:space="preserve"> </w:t>
      </w:r>
      <w:r w:rsidR="00F133E9">
        <w:rPr>
          <w:sz w:val="24"/>
          <w:szCs w:val="24"/>
        </w:rPr>
        <w:t>as</w:t>
      </w:r>
      <w:r>
        <w:rPr>
          <w:sz w:val="24"/>
          <w:szCs w:val="24"/>
        </w:rPr>
        <w:t xml:space="preserve"> evidence in a related civil case.</w:t>
      </w:r>
    </w:p>
    <w:p w14:paraId="4158E6BA" w14:textId="60596961" w:rsidR="009301D6" w:rsidRPr="009301D6" w:rsidRDefault="009301D6" w:rsidP="006D7E65">
      <w:pPr>
        <w:pStyle w:val="ListParagraph"/>
        <w:numPr>
          <w:ilvl w:val="2"/>
          <w:numId w:val="1"/>
        </w:numPr>
        <w:ind w:left="1620"/>
        <w:jc w:val="both"/>
        <w:rPr>
          <w:sz w:val="24"/>
          <w:szCs w:val="24"/>
        </w:rPr>
      </w:pPr>
      <w:r>
        <w:rPr>
          <w:sz w:val="24"/>
          <w:szCs w:val="24"/>
        </w:rPr>
        <w:t>Upon completion of the postmortem examination, and any related criminal and/or civil case, the next-of-kin</w:t>
      </w:r>
      <w:r w:rsidR="00646175">
        <w:rPr>
          <w:sz w:val="24"/>
          <w:szCs w:val="24"/>
        </w:rPr>
        <w:t>,</w:t>
      </w:r>
      <w:r>
        <w:rPr>
          <w:sz w:val="24"/>
          <w:szCs w:val="24"/>
        </w:rPr>
        <w:t xml:space="preserve"> or </w:t>
      </w:r>
      <w:r w:rsidR="00646175">
        <w:rPr>
          <w:rFonts w:eastAsia="Times New Roman" w:cstheme="minorHAnsi"/>
          <w:color w:val="000000"/>
          <w:sz w:val="24"/>
          <w:szCs w:val="24"/>
        </w:rPr>
        <w:t>person authorized by law to receive the remains,</w:t>
      </w:r>
      <w:r w:rsidR="00F02D76">
        <w:rPr>
          <w:sz w:val="24"/>
          <w:szCs w:val="24"/>
        </w:rPr>
        <w:t xml:space="preserve"> will be permitted to obtain the </w:t>
      </w:r>
      <w:r w:rsidR="00E6765C">
        <w:rPr>
          <w:sz w:val="24"/>
          <w:szCs w:val="24"/>
        </w:rPr>
        <w:t>specimen</w:t>
      </w:r>
      <w:r w:rsidR="00F02D76">
        <w:rPr>
          <w:sz w:val="24"/>
          <w:szCs w:val="24"/>
        </w:rPr>
        <w:t xml:space="preserve"> within six (6) months, or it will be disposed of in accordance with policy set by the Ada County Coroner.</w:t>
      </w:r>
    </w:p>
    <w:sectPr w:rsidR="009301D6" w:rsidRPr="009301D6" w:rsidSect="00DA0E9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3A5C4" w14:textId="77777777" w:rsidR="0009402B" w:rsidRDefault="0009402B" w:rsidP="00DA0E95">
      <w:pPr>
        <w:spacing w:after="0" w:line="240" w:lineRule="auto"/>
      </w:pPr>
      <w:r>
        <w:separator/>
      </w:r>
    </w:p>
  </w:endnote>
  <w:endnote w:type="continuationSeparator" w:id="0">
    <w:p w14:paraId="42A9765D" w14:textId="77777777" w:rsidR="0009402B" w:rsidRDefault="0009402B" w:rsidP="00DA0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E5C1E" w14:textId="77777777" w:rsidR="00DA0E95" w:rsidRDefault="00DA0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5B7E" w14:textId="55EB9F9E" w:rsidR="00DA0E95" w:rsidRPr="00DA0E95" w:rsidRDefault="00420A38" w:rsidP="00DA0E95">
    <w:pPr>
      <w:pStyle w:val="Footer"/>
      <w:jc w:val="right"/>
      <w:rPr>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Pr>
        <w:noProof/>
        <w:sz w:val="16"/>
        <w:szCs w:val="16"/>
      </w:rPr>
      <w:t>Specimen Collection and Storage</w:t>
    </w:r>
    <w:r>
      <w:rPr>
        <w:sz w:val="16"/>
        <w:szCs w:val="16"/>
      </w:rPr>
      <w:fldChar w:fldCharType="end"/>
    </w:r>
    <w:r>
      <w:rPr>
        <w:sz w:val="16"/>
        <w:szCs w:val="16"/>
      </w:rPr>
      <w:t xml:space="preserve"> </w:t>
    </w:r>
    <w:r w:rsidR="00DA0E95" w:rsidRPr="00DA0E95">
      <w:rPr>
        <w:sz w:val="16"/>
        <w:szCs w:val="16"/>
      </w:rPr>
      <w:t xml:space="preserve">Page </w:t>
    </w:r>
    <w:r w:rsidR="00DA0E95" w:rsidRPr="00DA0E95">
      <w:rPr>
        <w:sz w:val="16"/>
        <w:szCs w:val="16"/>
      </w:rPr>
      <w:fldChar w:fldCharType="begin"/>
    </w:r>
    <w:r w:rsidR="00DA0E95" w:rsidRPr="00DA0E95">
      <w:rPr>
        <w:sz w:val="16"/>
        <w:szCs w:val="16"/>
      </w:rPr>
      <w:instrText xml:space="preserve"> PAGE  \* Arabic  \* MERGEFORMAT </w:instrText>
    </w:r>
    <w:r w:rsidR="00DA0E95" w:rsidRPr="00DA0E95">
      <w:rPr>
        <w:sz w:val="16"/>
        <w:szCs w:val="16"/>
      </w:rPr>
      <w:fldChar w:fldCharType="separate"/>
    </w:r>
    <w:r w:rsidR="00DA0E95" w:rsidRPr="00DA0E95">
      <w:rPr>
        <w:noProof/>
        <w:sz w:val="16"/>
        <w:szCs w:val="16"/>
      </w:rPr>
      <w:t>1</w:t>
    </w:r>
    <w:r w:rsidR="00DA0E95" w:rsidRPr="00DA0E95">
      <w:rPr>
        <w:sz w:val="16"/>
        <w:szCs w:val="16"/>
      </w:rPr>
      <w:fldChar w:fldCharType="end"/>
    </w:r>
    <w:r w:rsidR="00DA0E95" w:rsidRPr="00DA0E95">
      <w:rPr>
        <w:sz w:val="16"/>
        <w:szCs w:val="16"/>
      </w:rPr>
      <w:t xml:space="preserve"> of </w:t>
    </w:r>
    <w:r w:rsidR="00DA0E95" w:rsidRPr="00DA0E95">
      <w:rPr>
        <w:sz w:val="16"/>
        <w:szCs w:val="16"/>
      </w:rPr>
      <w:fldChar w:fldCharType="begin"/>
    </w:r>
    <w:r w:rsidR="00DA0E95" w:rsidRPr="00DA0E95">
      <w:rPr>
        <w:sz w:val="16"/>
        <w:szCs w:val="16"/>
      </w:rPr>
      <w:instrText xml:space="preserve"> NUMPAGES  \* Arabic  \* MERGEFORMAT </w:instrText>
    </w:r>
    <w:r w:rsidR="00DA0E95" w:rsidRPr="00DA0E95">
      <w:rPr>
        <w:sz w:val="16"/>
        <w:szCs w:val="16"/>
      </w:rPr>
      <w:fldChar w:fldCharType="separate"/>
    </w:r>
    <w:r w:rsidR="00DA0E95" w:rsidRPr="00DA0E95">
      <w:rPr>
        <w:noProof/>
        <w:sz w:val="16"/>
        <w:szCs w:val="16"/>
      </w:rPr>
      <w:t>2</w:t>
    </w:r>
    <w:r w:rsidR="00DA0E95" w:rsidRPr="00DA0E95">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2C1D" w14:textId="77777777" w:rsidR="00DA0E95" w:rsidRDefault="00DA0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702E1" w14:textId="77777777" w:rsidR="0009402B" w:rsidRDefault="0009402B" w:rsidP="00DA0E95">
      <w:pPr>
        <w:spacing w:after="0" w:line="240" w:lineRule="auto"/>
      </w:pPr>
      <w:r>
        <w:separator/>
      </w:r>
    </w:p>
  </w:footnote>
  <w:footnote w:type="continuationSeparator" w:id="0">
    <w:p w14:paraId="3ADD7571" w14:textId="77777777" w:rsidR="0009402B" w:rsidRDefault="0009402B" w:rsidP="00DA0E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112F" w14:textId="77777777" w:rsidR="00DA0E95" w:rsidRDefault="00DA0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AFCE4" w14:textId="77777777" w:rsidR="00DA0E95" w:rsidRDefault="00DA0E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59882" w14:textId="77777777" w:rsidR="00DA0E95" w:rsidRDefault="00DA0E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739F5"/>
    <w:multiLevelType w:val="hybridMultilevel"/>
    <w:tmpl w:val="5F281B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439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8B"/>
    <w:rsid w:val="000020E5"/>
    <w:rsid w:val="00002976"/>
    <w:rsid w:val="0004302E"/>
    <w:rsid w:val="0004706F"/>
    <w:rsid w:val="000565C5"/>
    <w:rsid w:val="00085F7C"/>
    <w:rsid w:val="0009402B"/>
    <w:rsid w:val="000974C2"/>
    <w:rsid w:val="000F26B7"/>
    <w:rsid w:val="001040C7"/>
    <w:rsid w:val="001412B6"/>
    <w:rsid w:val="00174BEF"/>
    <w:rsid w:val="00186465"/>
    <w:rsid w:val="001C021F"/>
    <w:rsid w:val="002214CF"/>
    <w:rsid w:val="0024626F"/>
    <w:rsid w:val="002A5E88"/>
    <w:rsid w:val="002C30C9"/>
    <w:rsid w:val="002C7F51"/>
    <w:rsid w:val="003874D4"/>
    <w:rsid w:val="003A4777"/>
    <w:rsid w:val="0041674A"/>
    <w:rsid w:val="00420A38"/>
    <w:rsid w:val="0043317B"/>
    <w:rsid w:val="00435C83"/>
    <w:rsid w:val="00473401"/>
    <w:rsid w:val="00474DF3"/>
    <w:rsid w:val="00495956"/>
    <w:rsid w:val="004A3DA8"/>
    <w:rsid w:val="004B7839"/>
    <w:rsid w:val="005B723E"/>
    <w:rsid w:val="005D47E8"/>
    <w:rsid w:val="005D7E93"/>
    <w:rsid w:val="0063338D"/>
    <w:rsid w:val="0064203A"/>
    <w:rsid w:val="00646175"/>
    <w:rsid w:val="006D7E65"/>
    <w:rsid w:val="006F128D"/>
    <w:rsid w:val="007F0349"/>
    <w:rsid w:val="00823311"/>
    <w:rsid w:val="00854923"/>
    <w:rsid w:val="00862B49"/>
    <w:rsid w:val="00865ECF"/>
    <w:rsid w:val="008B2E5E"/>
    <w:rsid w:val="008C09FA"/>
    <w:rsid w:val="009301D6"/>
    <w:rsid w:val="00945ACD"/>
    <w:rsid w:val="00971A7C"/>
    <w:rsid w:val="009938CE"/>
    <w:rsid w:val="009A313B"/>
    <w:rsid w:val="00A0274C"/>
    <w:rsid w:val="00A267E1"/>
    <w:rsid w:val="00A420CE"/>
    <w:rsid w:val="00A750E6"/>
    <w:rsid w:val="00A80FCF"/>
    <w:rsid w:val="00AA5EF8"/>
    <w:rsid w:val="00AC320E"/>
    <w:rsid w:val="00AC6BB0"/>
    <w:rsid w:val="00AD2593"/>
    <w:rsid w:val="00B27B40"/>
    <w:rsid w:val="00BE1C05"/>
    <w:rsid w:val="00C2193E"/>
    <w:rsid w:val="00C91D22"/>
    <w:rsid w:val="00C96D04"/>
    <w:rsid w:val="00CA53BB"/>
    <w:rsid w:val="00CD4458"/>
    <w:rsid w:val="00CE7EC9"/>
    <w:rsid w:val="00D44D21"/>
    <w:rsid w:val="00D458B6"/>
    <w:rsid w:val="00D6391A"/>
    <w:rsid w:val="00DA0E95"/>
    <w:rsid w:val="00E21121"/>
    <w:rsid w:val="00E373E6"/>
    <w:rsid w:val="00E6765C"/>
    <w:rsid w:val="00E779B1"/>
    <w:rsid w:val="00E84BA7"/>
    <w:rsid w:val="00F02D76"/>
    <w:rsid w:val="00F059F0"/>
    <w:rsid w:val="00F133E9"/>
    <w:rsid w:val="00F235D6"/>
    <w:rsid w:val="00F2378B"/>
    <w:rsid w:val="00F61665"/>
    <w:rsid w:val="00F6168A"/>
    <w:rsid w:val="00F8353E"/>
    <w:rsid w:val="00F83CE5"/>
    <w:rsid w:val="00FD1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6254"/>
  <w15:chartTrackingRefBased/>
  <w15:docId w15:val="{F1C1CA8C-2BBE-4BF2-A976-6FD6E2C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D21"/>
    <w:pPr>
      <w:ind w:left="720"/>
      <w:contextualSpacing/>
    </w:pPr>
  </w:style>
  <w:style w:type="paragraph" w:styleId="Header">
    <w:name w:val="header"/>
    <w:basedOn w:val="Normal"/>
    <w:link w:val="HeaderChar"/>
    <w:uiPriority w:val="99"/>
    <w:unhideWhenUsed/>
    <w:rsid w:val="00DA0E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E95"/>
  </w:style>
  <w:style w:type="paragraph" w:styleId="Footer">
    <w:name w:val="footer"/>
    <w:basedOn w:val="Normal"/>
    <w:link w:val="FooterChar"/>
    <w:uiPriority w:val="99"/>
    <w:unhideWhenUsed/>
    <w:rsid w:val="00DA0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1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75E467-41B8-4EEF-B82F-DA29C55DA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C6D2F5-23E7-4EC9-AFC2-B3571A15F769}">
  <ds:schemaRefs>
    <ds:schemaRef ds:uri="http://purl.org/dc/elements/1.1/"/>
    <ds:schemaRef ds:uri="http://schemas.microsoft.com/office/infopath/2007/PartnerControls"/>
    <ds:schemaRef ds:uri="8416942f-d982-4ba4-a5b0-104826b4be24"/>
    <ds:schemaRef ds:uri="http://schemas.microsoft.com/office/2006/documentManagement/types"/>
    <ds:schemaRef ds:uri="http://purl.org/dc/dcmitype/"/>
    <ds:schemaRef ds:uri="8ef27eb8-0e3d-496f-b523-771757bdd770"/>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24F8E224-F88A-43B1-9D31-E30DDE7DE7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Ada County</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Macdonald</dc:creator>
  <cp:keywords/>
  <dc:description/>
  <cp:lastModifiedBy>Chisholm, Yujiemi</cp:lastModifiedBy>
  <cp:revision>2</cp:revision>
  <cp:lastPrinted>2023-04-07T17:20:00Z</cp:lastPrinted>
  <dcterms:created xsi:type="dcterms:W3CDTF">2025-05-21T12:50:00Z</dcterms:created>
  <dcterms:modified xsi:type="dcterms:W3CDTF">2025-05-21T12:50:00Z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5b8c3f9fa4960b616ac69e12164c05981b2d0168bcd6fdda968f8d0414ea7840</vt:lpwstr>
  </property>
  <property fmtid="{D5CDD505-2E9C-101B-9397-08002B2CF9AE}" pid="3" name="ContentTypeId">
    <vt:lpwstr>0x0101002FE5814883B49940B4B8AAE202A6E984</vt:lpwstr>
  </property>
</Properties>
</file>